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8" w:rsidRDefault="00EF5F58" w:rsidP="00EF5F58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noProof/>
        </w:rPr>
        <w:drawing>
          <wp:inline distT="0" distB="0" distL="0" distR="0">
            <wp:extent cx="9258300" cy="6734175"/>
            <wp:effectExtent l="0" t="0" r="0" b="9525"/>
            <wp:docPr id="1" name="Рисунок 1" descr="товаров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варов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58" w:rsidRDefault="00EF5F58" w:rsidP="00EF5F58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 xml:space="preserve">План учебного процесса (основная профессиональная образовательная программа СПО) </w:t>
      </w:r>
    </w:p>
    <w:p w:rsidR="00EF5F58" w:rsidRDefault="00EF5F58" w:rsidP="00EF5F58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38.02.05 «Товароведение и экспертиза качества потребительских товаров»</w:t>
      </w:r>
      <w:r>
        <w:rPr>
          <w:b/>
          <w:bCs/>
          <w:color w:val="auto"/>
          <w:w w:val="100"/>
          <w:sz w:val="24"/>
          <w:szCs w:val="24"/>
        </w:rPr>
        <w:t xml:space="preserve">  базового уровня подготовки  </w:t>
      </w:r>
    </w:p>
    <w:tbl>
      <w:tblPr>
        <w:tblW w:w="148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1"/>
        <w:gridCol w:w="3101"/>
        <w:gridCol w:w="991"/>
        <w:gridCol w:w="8"/>
        <w:gridCol w:w="839"/>
        <w:gridCol w:w="9"/>
        <w:gridCol w:w="700"/>
        <w:gridCol w:w="9"/>
        <w:gridCol w:w="841"/>
        <w:gridCol w:w="9"/>
        <w:gridCol w:w="842"/>
        <w:gridCol w:w="9"/>
        <w:gridCol w:w="841"/>
        <w:gridCol w:w="9"/>
        <w:gridCol w:w="851"/>
        <w:gridCol w:w="22"/>
        <w:gridCol w:w="970"/>
        <w:gridCol w:w="10"/>
        <w:gridCol w:w="12"/>
        <w:gridCol w:w="975"/>
        <w:gridCol w:w="17"/>
        <w:gridCol w:w="834"/>
        <w:gridCol w:w="17"/>
        <w:gridCol w:w="850"/>
        <w:gridCol w:w="981"/>
        <w:gridCol w:w="12"/>
      </w:tblGrid>
      <w:tr w:rsidR="00EF5F58" w:rsidTr="00EF5F58">
        <w:trPr>
          <w:gridAfter w:val="1"/>
          <w:wAfter w:w="12" w:type="dxa"/>
          <w:trHeight w:val="425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80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Формы промежуточной 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аттестации 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41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нагрузка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обучающихся (час.)</w:t>
            </w:r>
          </w:p>
        </w:tc>
        <w:tc>
          <w:tcPr>
            <w:tcW w:w="55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5F58" w:rsidRDefault="00EF5F58">
            <w:pPr>
              <w:spacing w:after="200" w:line="276" w:lineRule="auto"/>
            </w:pPr>
          </w:p>
        </w:tc>
      </w:tr>
      <w:tr w:rsidR="00EF5F58" w:rsidTr="00EF5F58">
        <w:trPr>
          <w:gridAfter w:val="1"/>
          <w:wAfter w:w="12" w:type="dxa"/>
          <w:trHeight w:val="391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255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8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курс</w:t>
            </w:r>
          </w:p>
        </w:tc>
        <w:tc>
          <w:tcPr>
            <w:tcW w:w="18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курс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курс</w:t>
            </w:r>
          </w:p>
        </w:tc>
      </w:tr>
      <w:tr w:rsidR="00EF5F58" w:rsidTr="00EF5F58">
        <w:trPr>
          <w:trHeight w:val="157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 занятий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 т.ч.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1 сем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 сем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 сем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сем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 сем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 сем</w:t>
            </w:r>
          </w:p>
        </w:tc>
      </w:tr>
      <w:tr w:rsidR="00EF5F58" w:rsidTr="00EF5F58">
        <w:trPr>
          <w:cantSplit/>
          <w:trHeight w:val="1848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лаб. и практ.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занятий. Семинары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 нед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 нед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 нед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23нед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17нед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нед</w:t>
            </w:r>
          </w:p>
        </w:tc>
      </w:tr>
      <w:tr w:rsidR="00EF5F58" w:rsidTr="00EF5F58">
        <w:trPr>
          <w:trHeight w:val="34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</w:t>
            </w:r>
          </w:p>
        </w:tc>
      </w:tr>
      <w:tr w:rsidR="00EF5F58" w:rsidTr="00EF5F58">
        <w:trPr>
          <w:trHeight w:val="405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3/э,11/дз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EF5F58" w:rsidRDefault="00282FB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2145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EF5F58" w:rsidRDefault="00282FB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741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405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0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A26F20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, Э</w:t>
            </w:r>
            <w:bookmarkStart w:id="0" w:name="_GoBack"/>
            <w:bookmarkEnd w:id="0"/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3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color w:val="auto"/>
                <w:w w:val="1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03</w:t>
            </w:r>
          </w:p>
        </w:tc>
        <w:tc>
          <w:tcPr>
            <w:tcW w:w="3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C869F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282FB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282FB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 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 w:rsidP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ОУД 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5F58" w:rsidRDefault="00EF5F58" w:rsidP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F5F58" w:rsidRDefault="00C869F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F5F58" w:rsidRDefault="00C869F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47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EF5F58" w:rsidTr="00667B91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F58" w:rsidRDefault="00667B91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5F58" w:rsidRDefault="00667B91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Право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 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67B91" w:rsidTr="00667B91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B91" w:rsidRDefault="00667B91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B91" w:rsidRDefault="00667B91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Естествознание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67B91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 16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667B9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C869F6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УДп 01.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УД П 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 родного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EF5F58" w:rsidTr="00EF5F58">
        <w:trPr>
          <w:trHeight w:val="553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1/э,3/дз,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384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98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ОГСЕ.01</w:t>
            </w:r>
          </w:p>
        </w:tc>
        <w:tc>
          <w:tcPr>
            <w:tcW w:w="310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-,ДЗ,З,Э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</w:tr>
      <w:tr w:rsidR="00EF5F58" w:rsidTr="00EF5F58">
        <w:trPr>
          <w:trHeight w:val="33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ОГСЕ.05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З,З,З,ДЗ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</w:tr>
      <w:tr w:rsidR="00EF5F58" w:rsidTr="00EF5F58">
        <w:trPr>
          <w:trHeight w:val="698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1/дз,1/з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ЕН.1</w:t>
            </w:r>
          </w:p>
        </w:tc>
        <w:tc>
          <w:tcPr>
            <w:tcW w:w="310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0 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П. 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4/э,9/дз,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2750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806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1884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657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368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710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580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226</w:t>
            </w:r>
          </w:p>
        </w:tc>
      </w:tr>
      <w:tr w:rsidR="00EF5F58" w:rsidTr="00EF5F58">
        <w:trPr>
          <w:trHeight w:val="40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ОП.00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2"/>
                <w:szCs w:val="22"/>
              </w:rPr>
            </w:pPr>
            <w:r>
              <w:rPr>
                <w:b/>
                <w:bCs/>
                <w:i/>
                <w:iCs/>
                <w:w w:val="100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2/э,4/дз,3/з</w:t>
            </w:r>
          </w:p>
        </w:tc>
        <w:tc>
          <w:tcPr>
            <w:tcW w:w="8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278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  <w:w w:val="1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w w:val="100"/>
                <w:sz w:val="22"/>
                <w:szCs w:val="22"/>
              </w:rPr>
              <w:t>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68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коммерческой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товароведения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432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</w:tr>
      <w:tr w:rsidR="00EF5F58" w:rsidTr="00EF5F58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ПМ.00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2/э,5/дз,2/з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528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1322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444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694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470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158</w:t>
            </w:r>
          </w:p>
        </w:tc>
      </w:tr>
      <w:tr w:rsidR="00EF5F58" w:rsidTr="00EF5F58">
        <w:trPr>
          <w:trHeight w:val="354"/>
        </w:trPr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EF5F58" w:rsidRDefault="00EF5F5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ассортиментом товаров</w:t>
            </w:r>
          </w:p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1/э,3/дз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562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152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562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116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управления ассортиментом товаров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</w:rPr>
            </w:pPr>
            <w:r>
              <w:rPr>
                <w:bCs/>
                <w:color w:val="000000" w:themeColor="text1"/>
                <w:w w:val="100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</w:rPr>
            </w:pPr>
            <w:r>
              <w:rPr>
                <w:bCs/>
                <w:color w:val="000000" w:themeColor="text1"/>
                <w:w w:val="100"/>
                <w:sz w:val="22"/>
                <w:szCs w:val="22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42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4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 01.02.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и охрана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7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</w:t>
            </w:r>
          </w:p>
          <w:p w:rsidR="00EF5F58" w:rsidRDefault="00EF5F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Товароведение продовольственных товаров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198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60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МДК</w:t>
            </w:r>
          </w:p>
          <w:p w:rsidR="00EF5F58" w:rsidRDefault="00EF5F58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Товароведение непродовольственных товаров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8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01.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81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ПМ. 02.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и проведение экспертизы и оценки качества товаров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1/э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567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469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02.01.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качества товаров и основы экспертизы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477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298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 02.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5F58" w:rsidRDefault="00EF5F58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03.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работ в подразделении организации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2/дз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351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158</w:t>
            </w:r>
          </w:p>
        </w:tc>
      </w:tr>
      <w:tr w:rsidR="00EF5F58" w:rsidTr="00EF5F58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03.01.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структурным подразделением организации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88</w:t>
            </w:r>
          </w:p>
        </w:tc>
      </w:tr>
      <w:tr w:rsidR="00EF5F58" w:rsidTr="00EF5F58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</w:tr>
      <w:tr w:rsidR="00EF5F58" w:rsidTr="00EF5F58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03.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5F58" w:rsidRDefault="00EF5F58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ПМ.04.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работ по одной или нескольким профессиям рабочих, должностям служащих.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2/з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138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138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04.01.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Контрольно-кассовые машины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04.02.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 и отчетность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04.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gridAfter w:val="24"/>
          <w:wAfter w:w="10658" w:type="dxa"/>
          <w:trHeight w:val="268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</w:p>
        </w:tc>
      </w:tr>
      <w:tr w:rsidR="00EF5F58" w:rsidTr="00EF5F58">
        <w:trPr>
          <w:trHeight w:val="49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5F58" w:rsidRDefault="00282FB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5579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282FB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1775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F5F58" w:rsidRDefault="00A5227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3744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576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324</w:t>
            </w:r>
          </w:p>
        </w:tc>
      </w:tr>
      <w:tr w:rsidR="00EF5F58" w:rsidTr="00EF5F58">
        <w:trPr>
          <w:trHeight w:val="49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ПП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F5F58" w:rsidRDefault="00EF5F5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</w:tr>
      <w:tr w:rsidR="00EF5F58" w:rsidTr="00EF5F58">
        <w:trPr>
          <w:trHeight w:val="43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 нед.</w:t>
            </w:r>
          </w:p>
        </w:tc>
      </w:tr>
      <w:tr w:rsidR="00EF5F58" w:rsidTr="00EF5F58">
        <w:trPr>
          <w:cantSplit/>
          <w:trHeight w:val="2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2нед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нед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нед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 нед</w:t>
            </w:r>
          </w:p>
        </w:tc>
      </w:tr>
      <w:tr w:rsidR="00EF5F58" w:rsidTr="00EF5F58">
        <w:trPr>
          <w:cantSplit/>
          <w:trHeight w:val="2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lastRenderedPageBreak/>
              <w:t>ГИА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 нед</w:t>
            </w:r>
          </w:p>
        </w:tc>
      </w:tr>
      <w:tr w:rsidR="00EF5F58" w:rsidTr="00EF5F58">
        <w:trPr>
          <w:cantSplit/>
          <w:trHeight w:val="69"/>
        </w:trPr>
        <w:tc>
          <w:tcPr>
            <w:tcW w:w="75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EF5F58" w:rsidRDefault="00EF5F58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дисциплин в МДК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640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158</w:t>
            </w:r>
          </w:p>
        </w:tc>
      </w:tr>
      <w:tr w:rsidR="00EF5F58" w:rsidTr="00EF5F58">
        <w:trPr>
          <w:trHeight w:val="264"/>
        </w:trPr>
        <w:tc>
          <w:tcPr>
            <w:tcW w:w="756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1.Программа базовой подготовки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1.1. Дипломный проект (работа)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Выполнение дипломного проекта (работы) с 20 мая по 15 июня (всего 4 нед.)</w:t>
            </w:r>
          </w:p>
          <w:p w:rsidR="00EF5F58" w:rsidRDefault="00EF5F58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Защита дипломного проекта (работы) с 16июня по 30 июня (всего 2 нед.)</w:t>
            </w: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EF5F58" w:rsidTr="00EF5F58">
        <w:trPr>
          <w:trHeight w:val="265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ind w:left="-117" w:right="-71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уч.практик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EF5F58" w:rsidTr="00EF5F58">
        <w:trPr>
          <w:trHeight w:val="257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произ.практики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</w:tr>
      <w:tr w:rsidR="00EF5F58" w:rsidTr="00EF5F58">
        <w:trPr>
          <w:trHeight w:val="271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ind w:left="-117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F5F58" w:rsidTr="00EF5F58">
        <w:trPr>
          <w:trHeight w:val="235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дифф.зачетов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</w:tr>
      <w:tr w:rsidR="00EF5F58" w:rsidTr="00EF5F58">
        <w:trPr>
          <w:trHeight w:val="313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F5F58" w:rsidRDefault="00EF5F58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>зачетов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F58" w:rsidRDefault="00EF5F5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</w:t>
            </w:r>
          </w:p>
        </w:tc>
      </w:tr>
    </w:tbl>
    <w:p w:rsidR="00EF5F58" w:rsidRDefault="00EF5F58" w:rsidP="00EF5F58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shd w:val="clear" w:color="auto" w:fill="FFFFFF" w:themeFill="background1"/>
      </w:pPr>
    </w:p>
    <w:p w:rsidR="00EF5F58" w:rsidRDefault="00EF5F58" w:rsidP="00EF5F58">
      <w:pPr>
        <w:jc w:val="center"/>
        <w:rPr>
          <w:b/>
        </w:rPr>
      </w:pPr>
      <w:r>
        <w:rPr>
          <w:b/>
        </w:rPr>
        <w:t>Пояснение к учебному плану по специальности 38.02.05 Товароведение и экспертиза качества потребительских товаров.</w:t>
      </w:r>
    </w:p>
    <w:p w:rsidR="00EF5F58" w:rsidRDefault="00EF5F58" w:rsidP="00EF5F58">
      <w:pPr>
        <w:rPr>
          <w:b/>
        </w:rPr>
      </w:pPr>
      <w:r>
        <w:rPr>
          <w:b/>
        </w:rPr>
        <w:t xml:space="preserve">1. Организация учебного процесса и режим занятий </w:t>
      </w:r>
    </w:p>
    <w:p w:rsidR="00EF5F58" w:rsidRDefault="00EF5F58" w:rsidP="00EF5F58">
      <w:r>
        <w:t xml:space="preserve">Начало учебных занятий - 1 сентября, окончание - 30 июня. Продолжительность учебной недели - пятидневная. Продолжительность занятий - 45 минут. 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аудиторной и внеаудиторной (самостоятельной) учебной работы по освоению ППССЗ. Консультации для обучающихся предусмотрены в объеме 4 часа в год на каждого обучающегося. Формы их проведения – групповые и индивидуальные. Формами промежуточной аттестации являются: зачет, дифференцированный зачет, экзамен. Дифференцированный зачет, экзамен оцениваются по пятибалльной шкале. Техникум при разработке учебного плана, формируя ППССЗ, исходит из того, что в соответствии с ФГОС СПО нормативный срок освоения ППССЗ по специальности СПО при очной форме получения образования для лиц, обучающихся на базе основного общего образования 2 год 10 месяцев: - теоретическое обучение – 97 недель, промежуточная аттестация – 5 недели, каникулярное время – 24 недель, государственная итоговая аттестация – 6 недель. </w:t>
      </w:r>
    </w:p>
    <w:p w:rsidR="00EF5F58" w:rsidRDefault="00EF5F58" w:rsidP="00EF5F58">
      <w:pPr>
        <w:rPr>
          <w:b/>
        </w:rPr>
      </w:pPr>
      <w:r>
        <w:rPr>
          <w:b/>
        </w:rPr>
        <w:t xml:space="preserve">2. Обязательная учебная нагрузка вариативной части ОПОП в количестве 612 часов распределена следующим образом: </w:t>
      </w:r>
    </w:p>
    <w:p w:rsidR="00EF5F58" w:rsidRDefault="00EF5F58" w:rsidP="00EF5F58">
      <w:r>
        <w:t>- введены дополнительные дисциплины:</w:t>
      </w:r>
    </w:p>
    <w:p w:rsidR="00EF5F58" w:rsidRDefault="00EF5F58" w:rsidP="00EF5F58">
      <w:r>
        <w:t>ОГСЕ Русский язык и культура речи 56 часа;</w:t>
      </w:r>
    </w:p>
    <w:p w:rsidR="00EF5F58" w:rsidRDefault="00EF5F58" w:rsidP="00EF5F58">
      <w:r>
        <w:t>В ПМ 01 Управление ассортиментом товаров введены МДК:</w:t>
      </w:r>
    </w:p>
    <w:p w:rsidR="00EF5F58" w:rsidRDefault="00EF5F58" w:rsidP="00EF5F58">
      <w:r>
        <w:t>Техническое оснащение и охрана труда -80 часов;</w:t>
      </w:r>
    </w:p>
    <w:p w:rsidR="00EF5F58" w:rsidRDefault="00EF5F58" w:rsidP="00EF5F58">
      <w:r>
        <w:t>Товароведение продовольственных товаров -228 часов;</w:t>
      </w:r>
    </w:p>
    <w:p w:rsidR="00EF5F58" w:rsidRDefault="00EF5F58" w:rsidP="00EF5F58">
      <w:r>
        <w:t>Товароведение непродовольственных товаров -170 часов.</w:t>
      </w:r>
    </w:p>
    <w:p w:rsidR="00EF5F58" w:rsidRDefault="00EF5F58" w:rsidP="00EF5F58">
      <w:r>
        <w:t>78  часов отданы на изучение дополнительных тем, не вошедших в базовую часть ФГОС СПО и более углубленное изучение предусмотренных профессиональными  модулями.</w:t>
      </w:r>
    </w:p>
    <w:p w:rsidR="00EF5F58" w:rsidRDefault="00EF5F58" w:rsidP="00EF5F58">
      <w:r>
        <w:t xml:space="preserve"> Рабочий учебный план предусматривает выполнение 2-х курсовых работ в объеме 30 часов аудиторных занятий на группу: ПМ.01 Управление ассортиментом товаров - МДК.01.04 «Товароведение продовольственных товаров» (2 семестр); ПМ 02 Организация и проведение экспертизы и оценки качества товаров. 3 семестр.</w:t>
      </w:r>
    </w:p>
    <w:p w:rsidR="00EF5F58" w:rsidRDefault="00EF5F58" w:rsidP="00EF5F58">
      <w:r>
        <w:lastRenderedPageBreak/>
        <w:t xml:space="preserve"> Учебная практика в объеме 7 недель  реализуется рассредоточено или концентрированно и предусмотрена в семестрах в рамках модулей.</w:t>
      </w:r>
    </w:p>
    <w:p w:rsidR="00EF5F58" w:rsidRDefault="00EF5F58" w:rsidP="00EF5F58">
      <w:r>
        <w:t xml:space="preserve">Экзамен квалификационный включает выполнение работ по профессии «Продавец продовольственных товаров». Производственная практика (по профилю специальности) в объеме (144 час). Преддипломная практика в объеме 4 недели проводится (144 часа) по окончании теоретического обучения и по завершении учебной и производственной (по профилю специальности) практики. </w:t>
      </w:r>
    </w:p>
    <w:p w:rsidR="00EF5F58" w:rsidRDefault="00EF5F58" w:rsidP="00EF5F58">
      <w:pPr>
        <w:rPr>
          <w:b/>
        </w:rPr>
      </w:pPr>
      <w:r>
        <w:rPr>
          <w:b/>
        </w:rPr>
        <w:t xml:space="preserve">3. Формы проведения консультаций </w:t>
      </w:r>
    </w:p>
    <w:p w:rsidR="00EF5F58" w:rsidRDefault="00EF5F58" w:rsidP="00EF5F58">
      <w:r>
        <w:t>Групповые консультации для подготовки к дифференцированным зачетам по общим гуманитарным и социально-экономическим, математическим и общим естественнонаучным, общепрофессиональным дисциплинам и МДК. Индивидуальные консультации при курсовом и дипломном проектировании. Консультирование при написании письменных экзаменационных работ, при выполнении практических заданий в ходе учебной и производственной практик. Устные консультации при оформлении и обработке результатов лабораторных и практических работ.</w:t>
      </w:r>
    </w:p>
    <w:p w:rsidR="00EF5F58" w:rsidRDefault="00EF5F58" w:rsidP="00EF5F58">
      <w:r>
        <w:t>Формы проведения промежуточной аттестации.</w:t>
      </w:r>
    </w:p>
    <w:p w:rsidR="00EF5F58" w:rsidRDefault="00EF5F58" w:rsidP="00EF5F58">
      <w:r>
        <w:t>Формы промежуточной аттестации: зачет, дифференцированный зачет или экзамен., для практик - только дифференцированный зачет. По профессиональным модулям в последнем семестре изучения формой промежуточной аттестации является экзамен (квалификационный).</w:t>
      </w:r>
    </w:p>
    <w:p w:rsidR="00EF5F58" w:rsidRDefault="00EF5F58" w:rsidP="00EF5F58">
      <w:r>
        <w:rPr>
          <w:b/>
        </w:rPr>
        <w:t xml:space="preserve">  4. Формы проведения Государственной (итоговой) аттестации </w:t>
      </w:r>
      <w:r>
        <w:t xml:space="preserve">Государственная (итоговая) аттестация включает защиту дипломного проекта. Условия выполнения и процедура проведения: Выполнение дипломного проекта проходит согласно графика дипломного проектирования, по которому разделы оцениваются в процентном отношении. Для организации выполнения дипломного проекта имеются соответствующие методические материалы и рекомендации для обучающихся, составленные руководителями и консультантами разделов согласно тематики проектов. </w:t>
      </w:r>
    </w:p>
    <w:p w:rsidR="00EF5F58" w:rsidRDefault="00EF5F58" w:rsidP="00EF5F58">
      <w:r>
        <w:rPr>
          <w:b/>
        </w:rPr>
        <w:t xml:space="preserve">  5. Проведение итоговой Государственной аттестации</w:t>
      </w:r>
      <w:r>
        <w:t xml:space="preserve"> проходит в виде защиты дипломных проектов на открытом заседании Государственной аттестационной комиссии. На заседании Государственной аттестационной комиссии обучающийся делает доклад, главное содержание которого - раскрытие темы, предусмотренной заданием на дипломное проектирование. Кроме того, обучающийся отвечает на вопросы по теме дипломного проекта, задаваемые членами ГАК.</w:t>
      </w:r>
    </w:p>
    <w:p w:rsidR="00EF5F58" w:rsidRDefault="00EF5F58" w:rsidP="00EF5F58"/>
    <w:p w:rsidR="00EF5F58" w:rsidRDefault="00EF5F58" w:rsidP="00EF5F58"/>
    <w:p w:rsidR="00EF5F58" w:rsidRDefault="00EF5F58" w:rsidP="00EF5F58">
      <w:pPr>
        <w:jc w:val="center"/>
      </w:pPr>
    </w:p>
    <w:p w:rsidR="00EF5F58" w:rsidRDefault="00EF5F58" w:rsidP="00EF5F58">
      <w:pPr>
        <w:jc w:val="center"/>
      </w:pPr>
    </w:p>
    <w:p w:rsidR="00EF5F58" w:rsidRDefault="00EF5F58" w:rsidP="00EF5F58">
      <w:pPr>
        <w:jc w:val="center"/>
      </w:pPr>
    </w:p>
    <w:p w:rsidR="00EF5F58" w:rsidRDefault="00EF5F58" w:rsidP="00EF5F58">
      <w:pPr>
        <w:jc w:val="center"/>
      </w:pPr>
    </w:p>
    <w:p w:rsidR="00EF5F58" w:rsidRDefault="00EF5F58" w:rsidP="00EF5F58">
      <w:pPr>
        <w:jc w:val="center"/>
      </w:pPr>
    </w:p>
    <w:p w:rsidR="00EF5F58" w:rsidRDefault="00EF5F58" w:rsidP="00EF5F58"/>
    <w:p w:rsidR="00DB6709" w:rsidRDefault="00DB6709"/>
    <w:sectPr w:rsidR="00DB6709" w:rsidSect="00EF5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58"/>
    <w:rsid w:val="00282FBF"/>
    <w:rsid w:val="00667B91"/>
    <w:rsid w:val="00A26F20"/>
    <w:rsid w:val="00A5227B"/>
    <w:rsid w:val="00C869F6"/>
    <w:rsid w:val="00DB6709"/>
    <w:rsid w:val="00E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5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F58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5F5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F5F58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F5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F5F58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F5F58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EF5F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EF5F58"/>
    <w:rPr>
      <w:color w:val="auto"/>
      <w:w w:val="100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EF5F58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EF5F58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F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uiPriority w:val="99"/>
    <w:semiHidden/>
    <w:unhideWhenUsed/>
    <w:rsid w:val="00EF5F58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F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EF5F58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F5F58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EF5F58"/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EF5F58"/>
    <w:pPr>
      <w:jc w:val="center"/>
    </w:pPr>
    <w:rPr>
      <w:color w:val="auto"/>
      <w:w w:val="100"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EF5F5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F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uiPriority w:val="99"/>
    <w:semiHidden/>
    <w:unhideWhenUsed/>
    <w:rsid w:val="00EF5F58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EF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1"/>
    <w:uiPriority w:val="99"/>
    <w:semiHidden/>
    <w:unhideWhenUsed/>
    <w:rsid w:val="00EF5F58"/>
    <w:pPr>
      <w:ind w:left="283"/>
    </w:pPr>
  </w:style>
  <w:style w:type="paragraph" w:styleId="af3">
    <w:name w:val="Subtitle"/>
    <w:basedOn w:val="a"/>
    <w:next w:val="a"/>
    <w:link w:val="af4"/>
    <w:uiPriority w:val="11"/>
    <w:qFormat/>
    <w:rsid w:val="00EF5F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EF5F58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F5F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F5F58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F5F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F5F58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af5">
    <w:name w:val="Текст Знак"/>
    <w:basedOn w:val="a0"/>
    <w:link w:val="af6"/>
    <w:uiPriority w:val="99"/>
    <w:semiHidden/>
    <w:rsid w:val="00EF5F58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EF5F58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7">
    <w:name w:val="Тема примечания Знак"/>
    <w:basedOn w:val="a5"/>
    <w:link w:val="af8"/>
    <w:uiPriority w:val="99"/>
    <w:semiHidden/>
    <w:rsid w:val="00EF5F58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8">
    <w:name w:val="annotation subject"/>
    <w:basedOn w:val="a6"/>
    <w:next w:val="a6"/>
    <w:link w:val="af7"/>
    <w:uiPriority w:val="99"/>
    <w:semiHidden/>
    <w:unhideWhenUsed/>
    <w:rsid w:val="00EF5F58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EF5F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F5F58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b">
    <w:name w:val="No Spacing"/>
    <w:uiPriority w:val="1"/>
    <w:qFormat/>
    <w:rsid w:val="00EF5F5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afc">
    <w:name w:val="List Paragraph"/>
    <w:basedOn w:val="a"/>
    <w:uiPriority w:val="99"/>
    <w:qFormat/>
    <w:rsid w:val="00EF5F58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d">
    <w:name w:val="Subtle Emphasis"/>
    <w:basedOn w:val="a0"/>
    <w:uiPriority w:val="19"/>
    <w:qFormat/>
    <w:rsid w:val="00EF5F58"/>
    <w:rPr>
      <w:i/>
      <w:iCs/>
      <w:color w:val="808080" w:themeColor="text1" w:themeTint="7F"/>
    </w:rPr>
  </w:style>
  <w:style w:type="character" w:customStyle="1" w:styleId="3">
    <w:name w:val="Знак Знак3"/>
    <w:basedOn w:val="a0"/>
    <w:uiPriority w:val="99"/>
    <w:locked/>
    <w:rsid w:val="00EF5F58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EF5F58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EF5F58"/>
    <w:rPr>
      <w:rFonts w:ascii="Courier New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5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F58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5F5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F5F58"/>
    <w:pPr>
      <w:spacing w:before="240" w:after="60"/>
      <w:outlineLvl w:val="4"/>
    </w:pPr>
    <w:rPr>
      <w:b/>
      <w:bCs/>
      <w:i/>
      <w:iCs/>
      <w:color w:val="auto"/>
      <w:w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F5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F5F58"/>
    <w:rPr>
      <w:rFonts w:ascii="Cambria" w:eastAsia="Calibri" w:hAnsi="Cambria" w:cs="Cambria"/>
      <w:b/>
      <w:bCs/>
      <w:color w:val="4F81BD"/>
      <w:w w:val="9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F5F58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EF5F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EF5F58"/>
    <w:rPr>
      <w:color w:val="auto"/>
      <w:w w:val="100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EF5F58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EF5F58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F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uiPriority w:val="99"/>
    <w:semiHidden/>
    <w:unhideWhenUsed/>
    <w:rsid w:val="00EF5F58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F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EF5F58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F5F58"/>
    <w:rPr>
      <w:rFonts w:ascii="Times New Roman" w:eastAsia="Calibri" w:hAnsi="Times New Roman" w:cs="Times New Roman"/>
      <w:color w:val="000000"/>
      <w:w w:val="90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EF5F58"/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EF5F58"/>
    <w:pPr>
      <w:jc w:val="center"/>
    </w:pPr>
    <w:rPr>
      <w:color w:val="auto"/>
      <w:w w:val="100"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EF5F5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F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uiPriority w:val="99"/>
    <w:semiHidden/>
    <w:unhideWhenUsed/>
    <w:rsid w:val="00EF5F58"/>
    <w:pPr>
      <w:widowControl w:val="0"/>
      <w:suppressAutoHyphens/>
      <w:spacing w:after="120"/>
    </w:pPr>
    <w:rPr>
      <w:rFonts w:eastAsia="Times New Roman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EF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f0"/>
    <w:link w:val="af1"/>
    <w:uiPriority w:val="99"/>
    <w:semiHidden/>
    <w:unhideWhenUsed/>
    <w:rsid w:val="00EF5F58"/>
    <w:pPr>
      <w:ind w:left="283"/>
    </w:pPr>
  </w:style>
  <w:style w:type="paragraph" w:styleId="af3">
    <w:name w:val="Subtitle"/>
    <w:basedOn w:val="a"/>
    <w:next w:val="a"/>
    <w:link w:val="af4"/>
    <w:uiPriority w:val="11"/>
    <w:qFormat/>
    <w:rsid w:val="00EF5F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EF5F58"/>
    <w:rPr>
      <w:rFonts w:asciiTheme="majorHAnsi" w:eastAsiaTheme="majorEastAsia" w:hAnsiTheme="majorHAnsi" w:cstheme="majorBidi"/>
      <w:i/>
      <w:iCs/>
      <w:color w:val="4F81BD" w:themeColor="accent1"/>
      <w:spacing w:val="15"/>
      <w:w w:val="9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F5F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F5F58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F5F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F5F58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af5">
    <w:name w:val="Текст Знак"/>
    <w:basedOn w:val="a0"/>
    <w:link w:val="af6"/>
    <w:uiPriority w:val="99"/>
    <w:semiHidden/>
    <w:rsid w:val="00EF5F58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EF5F58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7">
    <w:name w:val="Тема примечания Знак"/>
    <w:basedOn w:val="a5"/>
    <w:link w:val="af8"/>
    <w:uiPriority w:val="99"/>
    <w:semiHidden/>
    <w:rsid w:val="00EF5F58"/>
    <w:rPr>
      <w:rFonts w:ascii="Times New Roman" w:eastAsia="Calibri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8">
    <w:name w:val="annotation subject"/>
    <w:basedOn w:val="a6"/>
    <w:next w:val="a6"/>
    <w:link w:val="af7"/>
    <w:uiPriority w:val="99"/>
    <w:semiHidden/>
    <w:unhideWhenUsed/>
    <w:rsid w:val="00EF5F58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EF5F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F5F58"/>
    <w:rPr>
      <w:rFonts w:ascii="Tahoma" w:eastAsia="Calibri" w:hAnsi="Tahoma" w:cs="Tahoma"/>
      <w:color w:val="000000"/>
      <w:w w:val="90"/>
      <w:sz w:val="16"/>
      <w:szCs w:val="16"/>
      <w:lang w:eastAsia="ru-RU"/>
    </w:rPr>
  </w:style>
  <w:style w:type="paragraph" w:styleId="afb">
    <w:name w:val="No Spacing"/>
    <w:uiPriority w:val="1"/>
    <w:qFormat/>
    <w:rsid w:val="00EF5F5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styleId="afc">
    <w:name w:val="List Paragraph"/>
    <w:basedOn w:val="a"/>
    <w:uiPriority w:val="99"/>
    <w:qFormat/>
    <w:rsid w:val="00EF5F58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character" w:styleId="afd">
    <w:name w:val="Subtle Emphasis"/>
    <w:basedOn w:val="a0"/>
    <w:uiPriority w:val="19"/>
    <w:qFormat/>
    <w:rsid w:val="00EF5F58"/>
    <w:rPr>
      <w:i/>
      <w:iCs/>
      <w:color w:val="808080" w:themeColor="text1" w:themeTint="7F"/>
    </w:rPr>
  </w:style>
  <w:style w:type="character" w:customStyle="1" w:styleId="3">
    <w:name w:val="Знак Знак3"/>
    <w:basedOn w:val="a0"/>
    <w:uiPriority w:val="99"/>
    <w:locked/>
    <w:rsid w:val="00EF5F58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EF5F58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EF5F58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8</cp:revision>
  <dcterms:created xsi:type="dcterms:W3CDTF">2017-04-06T05:24:00Z</dcterms:created>
  <dcterms:modified xsi:type="dcterms:W3CDTF">2017-05-24T09:57:00Z</dcterms:modified>
</cp:coreProperties>
</file>